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60" w:rsidRPr="009A0E2A" w:rsidRDefault="00A40360" w:rsidP="00A40360">
      <w:pPr>
        <w:jc w:val="center"/>
        <w:rPr>
          <w:b/>
          <w:sz w:val="30"/>
          <w:szCs w:val="30"/>
        </w:rPr>
      </w:pPr>
      <w:r w:rsidRPr="009A0E2A">
        <w:rPr>
          <w:b/>
          <w:sz w:val="30"/>
          <w:szCs w:val="30"/>
        </w:rPr>
        <w:t>PIKKELYSÖMÖR – EKCÉMA CSOMAG</w:t>
      </w:r>
    </w:p>
    <w:p w:rsidR="00A40360" w:rsidRPr="00927065" w:rsidRDefault="00A40360" w:rsidP="00A40360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6"/>
          <w:szCs w:val="26"/>
        </w:rPr>
      </w:pPr>
      <w:r w:rsidRPr="00927065">
        <w:rPr>
          <w:rFonts w:cs="Calibri"/>
          <w:b/>
          <w:sz w:val="26"/>
          <w:szCs w:val="26"/>
        </w:rPr>
        <w:t xml:space="preserve">A kórtünet ismérvei </w:t>
      </w:r>
    </w:p>
    <w:p w:rsidR="00A40360" w:rsidRDefault="00A40360" w:rsidP="00A40360">
      <w:pPr>
        <w:pStyle w:val="Listaszerbekezds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40360" w:rsidRPr="00927065" w:rsidRDefault="00A40360" w:rsidP="00A40360">
      <w:pPr>
        <w:pStyle w:val="Listaszerbekezds"/>
        <w:spacing w:line="240" w:lineRule="auto"/>
        <w:ind w:left="0"/>
        <w:jc w:val="both"/>
        <w:rPr>
          <w:rFonts w:cs="Calibri"/>
        </w:rPr>
      </w:pPr>
      <w:r w:rsidRPr="00927065">
        <w:rPr>
          <w:rFonts w:cs="Calibri"/>
        </w:rPr>
        <w:t xml:space="preserve">Számos egészségügyi probléma tünete elsőként a bőrön jelenik meg. </w:t>
      </w:r>
      <w:r>
        <w:rPr>
          <w:rFonts w:cs="Calibri"/>
        </w:rPr>
        <w:t xml:space="preserve">Az élet során </w:t>
      </w:r>
      <w:r w:rsidRPr="00927065">
        <w:rPr>
          <w:rFonts w:cs="Calibri"/>
        </w:rPr>
        <w:t>elsőként – gyakran az első életévben –</w:t>
      </w:r>
      <w:r>
        <w:rPr>
          <w:rFonts w:cs="Calibri"/>
        </w:rPr>
        <w:t xml:space="preserve">az </w:t>
      </w:r>
      <w:proofErr w:type="spellStart"/>
      <w:r w:rsidRPr="00927065">
        <w:rPr>
          <w:rFonts w:cs="Calibri"/>
          <w:b/>
        </w:rPr>
        <w:t>atópiás</w:t>
      </w:r>
      <w:proofErr w:type="spellEnd"/>
      <w:r w:rsidRPr="00927065">
        <w:rPr>
          <w:rFonts w:cs="Calibri"/>
          <w:b/>
        </w:rPr>
        <w:t xml:space="preserve"> </w:t>
      </w:r>
      <w:proofErr w:type="spellStart"/>
      <w:r w:rsidRPr="00927065">
        <w:rPr>
          <w:rFonts w:cs="Calibri"/>
          <w:b/>
        </w:rPr>
        <w:t>dermatitis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>jelentkezik</w:t>
      </w:r>
      <w:r w:rsidRPr="00927065">
        <w:rPr>
          <w:rFonts w:cs="Calibri"/>
        </w:rPr>
        <w:t>, melynek vezető tünetei a viszketés, az ehhez társuló nyugtalanság, alvászavar, kisgyermekkorban az egész család életminőségét leronthatja. A</w:t>
      </w:r>
      <w:r w:rsidRPr="00927065">
        <w:rPr>
          <w:rFonts w:cs="Calibri"/>
          <w:i/>
        </w:rPr>
        <w:t xml:space="preserve"> </w:t>
      </w:r>
      <w:r>
        <w:rPr>
          <w:rStyle w:val="Kiemels"/>
          <w:rFonts w:cs="Calibri"/>
          <w:i w:val="0"/>
        </w:rPr>
        <w:t>tinédzser</w:t>
      </w:r>
      <w:r w:rsidRPr="00927065">
        <w:rPr>
          <w:rStyle w:val="Kiemels"/>
          <w:rFonts w:cs="Calibri"/>
        </w:rPr>
        <w:t>kori</w:t>
      </w:r>
      <w:r w:rsidRPr="00927065">
        <w:rPr>
          <w:rFonts w:cs="Calibri"/>
        </w:rPr>
        <w:t xml:space="preserve"> formánál a fenti tünetekhez a tenyereken és a talpakon </w:t>
      </w:r>
      <w:r w:rsidRPr="00927065">
        <w:rPr>
          <w:rFonts w:cs="Calibri"/>
          <w:b/>
        </w:rPr>
        <w:t>ekcéma</w:t>
      </w:r>
      <w:r w:rsidRPr="00927065">
        <w:rPr>
          <w:rFonts w:cs="Calibri"/>
        </w:rPr>
        <w:t xml:space="preserve"> is társulhat. Az ekcéma tünetei szabad szemmel is jól láthatóa</w:t>
      </w:r>
      <w:r>
        <w:rPr>
          <w:rFonts w:cs="Calibri"/>
        </w:rPr>
        <w:t>k: v</w:t>
      </w:r>
      <w:r w:rsidRPr="00927065">
        <w:rPr>
          <w:rFonts w:cs="Calibri"/>
        </w:rPr>
        <w:t xml:space="preserve">örös foltokkal, először nedvedző hólyagocskákkal jelentkezik, mely hólyagok felszakadva beszáradnak. Az ekcémás tüneteket rohamszerű viszketési ingerek kísérik. </w:t>
      </w:r>
      <w:r w:rsidRPr="00927065">
        <w:rPr>
          <w:rFonts w:cs="Calibri"/>
          <w:lang w:eastAsia="hu-HU"/>
        </w:rPr>
        <w:t xml:space="preserve">A </w:t>
      </w:r>
      <w:r w:rsidRPr="00927065">
        <w:rPr>
          <w:rFonts w:cs="Calibri"/>
          <w:b/>
          <w:lang w:eastAsia="hu-HU"/>
        </w:rPr>
        <w:t>p</w:t>
      </w:r>
      <w:r>
        <w:rPr>
          <w:rFonts w:cs="Calibri"/>
          <w:b/>
          <w:noProof/>
          <w:lang w:eastAsia="hu-HU"/>
        </w:rPr>
        <w:drawing>
          <wp:inline distT="0" distB="0" distL="0" distR="0">
            <wp:extent cx="9525" cy="9525"/>
            <wp:effectExtent l="0" t="0" r="0" b="0"/>
            <wp:docPr id="1" name="Kép 1" descr="kis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ise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27065">
        <w:rPr>
          <w:rFonts w:cs="Calibri"/>
          <w:b/>
          <w:lang w:eastAsia="hu-HU"/>
        </w:rPr>
        <w:t>ikkelysömör</w:t>
      </w:r>
      <w:proofErr w:type="spellEnd"/>
      <w:r w:rsidRPr="00927065">
        <w:rPr>
          <w:rFonts w:cs="Calibri"/>
          <w:lang w:eastAsia="hu-HU"/>
        </w:rPr>
        <w:t xml:space="preserve"> gyakori bőrbetegség, ami a bőrön jól elhatárolódó foltokban jelentkezik.  Onnan kapta a nevét, hogy e</w:t>
      </w:r>
      <w:r w:rsidRPr="00927065">
        <w:rPr>
          <w:rFonts w:cs="Calibri"/>
        </w:rPr>
        <w:t>leinte kis vörös foltokkal jelentkezik, majd idővel,</w:t>
      </w:r>
      <w:r>
        <w:rPr>
          <w:rFonts w:cs="Calibri"/>
        </w:rPr>
        <w:t xml:space="preserve"> az elszáradt szarulemezek, mint a korpa hámlani és </w:t>
      </w:r>
      <w:r w:rsidRPr="00927065">
        <w:rPr>
          <w:rFonts w:cs="Calibri"/>
        </w:rPr>
        <w:t xml:space="preserve">hullani kezdenek, a bőr pikkelyessé válik. </w:t>
      </w:r>
    </w:p>
    <w:p w:rsidR="00A40360" w:rsidRPr="00927065" w:rsidRDefault="00A40360" w:rsidP="00A40360">
      <w:pPr>
        <w:pStyle w:val="Listaszerbekezds"/>
        <w:ind w:left="1080"/>
        <w:jc w:val="both"/>
        <w:rPr>
          <w:rFonts w:cs="Calibri"/>
          <w:b/>
          <w:sz w:val="26"/>
          <w:szCs w:val="26"/>
        </w:rPr>
      </w:pPr>
    </w:p>
    <w:p w:rsidR="00A40360" w:rsidRPr="00927065" w:rsidRDefault="00A40360" w:rsidP="00A40360">
      <w:pPr>
        <w:pStyle w:val="Listaszerbekezds"/>
        <w:numPr>
          <w:ilvl w:val="0"/>
          <w:numId w:val="2"/>
        </w:numPr>
        <w:jc w:val="both"/>
        <w:rPr>
          <w:rFonts w:cs="Calibri"/>
          <w:b/>
          <w:sz w:val="26"/>
          <w:szCs w:val="26"/>
        </w:rPr>
      </w:pPr>
      <w:r w:rsidRPr="00927065">
        <w:rPr>
          <w:rFonts w:cs="Calibri"/>
          <w:b/>
          <w:sz w:val="26"/>
          <w:szCs w:val="26"/>
        </w:rPr>
        <w:t xml:space="preserve">Hogyan hat az Ön problémájára a Sensolite? </w:t>
      </w:r>
    </w:p>
    <w:p w:rsidR="00A40360" w:rsidRPr="00927065" w:rsidRDefault="00A40360" w:rsidP="00A40360">
      <w:pPr>
        <w:pStyle w:val="Listaszerbekezds"/>
        <w:spacing w:line="240" w:lineRule="auto"/>
        <w:ind w:left="0"/>
        <w:jc w:val="both"/>
        <w:rPr>
          <w:rFonts w:cs="Calibri"/>
          <w:sz w:val="26"/>
          <w:szCs w:val="26"/>
        </w:rPr>
      </w:pPr>
    </w:p>
    <w:p w:rsidR="00A40360" w:rsidRDefault="00A40360" w:rsidP="00A40360">
      <w:pPr>
        <w:pStyle w:val="Listaszerbekezds"/>
        <w:spacing w:line="240" w:lineRule="auto"/>
        <w:ind w:left="0"/>
        <w:jc w:val="both"/>
        <w:rPr>
          <w:rFonts w:cs="Calibri"/>
        </w:rPr>
      </w:pPr>
      <w:r w:rsidRPr="00927065">
        <w:rPr>
          <w:rFonts w:cs="Calibri"/>
        </w:rPr>
        <w:t>A bőrbetegségek</w:t>
      </w:r>
      <w:r>
        <w:rPr>
          <w:rFonts w:cs="Calibri"/>
        </w:rPr>
        <w:t xml:space="preserve"> (pikkelysömör, ekcéma)</w:t>
      </w:r>
      <w:r w:rsidRPr="00927065">
        <w:rPr>
          <w:rFonts w:cs="Calibri"/>
        </w:rPr>
        <w:t xml:space="preserve"> tüneteinek megjelenését minden esetben jelentősen befolyásolják külső és belső tényezők. A </w:t>
      </w:r>
      <w:r w:rsidRPr="00927065">
        <w:rPr>
          <w:rStyle w:val="Kiemels"/>
          <w:rFonts w:cs="Calibri"/>
        </w:rPr>
        <w:t>stressz</w:t>
      </w:r>
      <w:r w:rsidRPr="00927065">
        <w:rPr>
          <w:rFonts w:cs="Calibri"/>
        </w:rPr>
        <w:t xml:space="preserve"> kifejez</w:t>
      </w:r>
      <w:r>
        <w:rPr>
          <w:rFonts w:cs="Calibri"/>
        </w:rPr>
        <w:t>etten ronthat az állapoton.  H</w:t>
      </w:r>
      <w:r w:rsidRPr="00927065">
        <w:rPr>
          <w:rFonts w:cs="Calibri"/>
        </w:rPr>
        <w:t>atásos lehet a diéta, a gondos bőrápolá</w:t>
      </w:r>
      <w:r>
        <w:rPr>
          <w:rFonts w:cs="Calibri"/>
        </w:rPr>
        <w:t>s, helyi készítmények mellett igen hatásosnak bizonyult a</w:t>
      </w:r>
      <w:r w:rsidRPr="00927065">
        <w:rPr>
          <w:rFonts w:cs="Calibri"/>
        </w:rPr>
        <w:t xml:space="preserve"> teljes test </w:t>
      </w:r>
      <w:proofErr w:type="spellStart"/>
      <w:r w:rsidRPr="00927065">
        <w:rPr>
          <w:rFonts w:cs="Calibri"/>
        </w:rPr>
        <w:t>polarizáltfény-kezelés</w:t>
      </w:r>
      <w:r>
        <w:rPr>
          <w:rFonts w:cs="Calibri"/>
        </w:rPr>
        <w:t>e</w:t>
      </w:r>
      <w:proofErr w:type="spellEnd"/>
      <w:r w:rsidRPr="00927065">
        <w:rPr>
          <w:rFonts w:cs="Calibri"/>
        </w:rPr>
        <w:t>. A Sensolite a bőr hidratáltságát fokozza, ezáltal nem viszket annyira a beteg terület,</w:t>
      </w:r>
      <w:r>
        <w:rPr>
          <w:rFonts w:cs="Calibri"/>
        </w:rPr>
        <w:t xml:space="preserve"> a jobb oxigén ellátottságnak, valamint a fokozott sejt anyagcserének köszönhetően a bőr</w:t>
      </w:r>
      <w:r w:rsidRPr="00927065">
        <w:rPr>
          <w:rFonts w:cs="Calibri"/>
        </w:rPr>
        <w:t xml:space="preserve"> hamarabb tud megújulni, regenerálódni. A betegségre jellemző nyugtalanság, alvászavar jelentősen javul. A Sensolite regeneráló, nyugtató </w:t>
      </w:r>
      <w:proofErr w:type="spellStart"/>
      <w:r w:rsidRPr="00927065">
        <w:rPr>
          <w:rFonts w:cs="Calibri"/>
        </w:rPr>
        <w:t>stresszoldó</w:t>
      </w:r>
      <w:proofErr w:type="spellEnd"/>
      <w:r w:rsidRPr="00927065">
        <w:rPr>
          <w:rFonts w:cs="Calibri"/>
        </w:rPr>
        <w:t xml:space="preserve"> hatása révén</w:t>
      </w:r>
      <w:r>
        <w:rPr>
          <w:rFonts w:cs="Calibri"/>
        </w:rPr>
        <w:t xml:space="preserve"> ezzel párhuzamosan a tünetek </w:t>
      </w:r>
      <w:proofErr w:type="spellStart"/>
      <w:r>
        <w:rPr>
          <w:rFonts w:cs="Calibri"/>
        </w:rPr>
        <w:t>enyhühetnek</w:t>
      </w:r>
      <w:proofErr w:type="spellEnd"/>
      <w:r>
        <w:rPr>
          <w:rFonts w:cs="Calibri"/>
        </w:rPr>
        <w:t>, illetve teljesen megszűnhetnek,</w:t>
      </w:r>
      <w:r w:rsidRPr="00927065">
        <w:rPr>
          <w:rFonts w:cs="Calibri"/>
        </w:rPr>
        <w:t xml:space="preserve"> </w:t>
      </w:r>
      <w:r>
        <w:rPr>
          <w:rFonts w:cs="Calibri"/>
        </w:rPr>
        <w:t>összességében az életminőség javul. Ráadásul a</w:t>
      </w:r>
      <w:r w:rsidRPr="00927065">
        <w:rPr>
          <w:rFonts w:cs="Calibri"/>
        </w:rPr>
        <w:t xml:space="preserve"> szervezet ellenállóbbá válik a különböző fertőzésekkel, környezeti hatásokkal szemben.</w:t>
      </w:r>
      <w:r>
        <w:rPr>
          <w:rFonts w:cs="Calibri"/>
        </w:rPr>
        <w:t xml:space="preserve"> Tudomásul kell venni azonban, hogy az összes indikációs terület közül a pikkelysömör és az ekcéma azok a betegségek, melyeknél a legnagyobb türelemre és kitartásra van szükség a fényterápia során. A páciensek reagálása a teljes test polarizált fény kezelésére igen változatos képet mutatott.  Volt rá eset, hogy a beteg bőr lassan, de folyamatosan 40-50 kezelést követően teljes gyógyulást mutatott, ezután már csak heti 1 alkalommal igényelte a fenntartó kezelést a jó állapot karbantartására.  Olyan eset is előfordult, hogy 4-5 kezelést követően erős visszaesés mutatkozott, de ezt követően elindult a javulás és szintén 40-50 kezelés után a bőr elérte optimális állapotát.</w:t>
      </w:r>
    </w:p>
    <w:p w:rsidR="00A40360" w:rsidRPr="00927065" w:rsidRDefault="00A40360" w:rsidP="00A40360">
      <w:pPr>
        <w:pStyle w:val="Listaszerbekezds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</w:rPr>
        <w:t xml:space="preserve">Fiatalabbaknál a gyógyulási folyamat gyorsabb, idősebbeknél lassabb volt.  A Sensolite a pikkelysömör és az ekcéma esetében két fronton küzd e betegségek ellen, mert nyugtatja, harmonizálja a stressz, szorongás, félelem okozta pszichés folyamatokat, miközben direkt módon segít a bőr állapotának javulásában is. </w:t>
      </w:r>
    </w:p>
    <w:p w:rsidR="00A40360" w:rsidRDefault="00A40360" w:rsidP="00A40360">
      <w:pPr>
        <w:pStyle w:val="Listaszerbekezds"/>
        <w:ind w:left="1080"/>
        <w:jc w:val="both"/>
        <w:rPr>
          <w:b/>
          <w:sz w:val="26"/>
          <w:szCs w:val="26"/>
        </w:rPr>
      </w:pPr>
    </w:p>
    <w:p w:rsidR="00A40360" w:rsidRDefault="00A40360" w:rsidP="00A40360">
      <w:pPr>
        <w:pStyle w:val="Listaszerbekezds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Páciensek</w:t>
      </w:r>
      <w:r w:rsidRPr="008B19DE">
        <w:rPr>
          <w:b/>
          <w:sz w:val="26"/>
          <w:szCs w:val="26"/>
        </w:rPr>
        <w:t xml:space="preserve"> tapasztalatai</w:t>
      </w:r>
    </w:p>
    <w:p w:rsidR="00A40360" w:rsidRPr="00114A42" w:rsidRDefault="00A40360" w:rsidP="00A40360">
      <w:pPr>
        <w:rPr>
          <w:rFonts w:cs="Calibri"/>
        </w:rPr>
      </w:pPr>
      <w:r w:rsidRPr="00114A42">
        <w:rPr>
          <w:rFonts w:cs="Calibri"/>
          <w:i/>
        </w:rPr>
        <w:t>"Gyermekemen ekcémás tünetek voltak az egész testfelületen. A kezelés hatására a bőre szépen letisztult. Azóta szinten tartásként járunk, és a gyermek immunrendszere is erősödött. A kisfiú bőre csodálatosan rendbejött! "</w:t>
      </w:r>
      <w:r w:rsidRPr="00114A42">
        <w:rPr>
          <w:rFonts w:cs="Calibri"/>
        </w:rPr>
        <w:t xml:space="preserve"> M. K.</w:t>
      </w:r>
    </w:p>
    <w:p w:rsidR="00A40360" w:rsidRDefault="00A40360" w:rsidP="00A40360">
      <w:r w:rsidRPr="00114A42">
        <w:rPr>
          <w:i/>
        </w:rPr>
        <w:t xml:space="preserve">„Mióta kiderült, tudtuk, hogy makacs betegség az ekcéma, de igazán jó, számunkra megbízható módszert nem találtunk addig, amíg </w:t>
      </w:r>
      <w:proofErr w:type="spellStart"/>
      <w:r w:rsidRPr="00114A42">
        <w:rPr>
          <w:i/>
        </w:rPr>
        <w:t>szomszédaink</w:t>
      </w:r>
      <w:proofErr w:type="spellEnd"/>
      <w:r w:rsidRPr="00114A42">
        <w:rPr>
          <w:i/>
        </w:rPr>
        <w:t xml:space="preserve"> nem javasolták, hogy nézzünk utána. Marci fiúnk rettenetesen izgága, ezért féltünk tőle, hogyan fog kibírni 10-15 percet a </w:t>
      </w:r>
      <w:proofErr w:type="spellStart"/>
      <w:r w:rsidRPr="00114A42">
        <w:rPr>
          <w:i/>
        </w:rPr>
        <w:t>Sensolite-ban</w:t>
      </w:r>
      <w:proofErr w:type="spellEnd"/>
      <w:r w:rsidRPr="00114A42">
        <w:rPr>
          <w:i/>
        </w:rPr>
        <w:t xml:space="preserve">, de hála az égnek, gyorsan megszerette. </w:t>
      </w:r>
      <w:proofErr w:type="gramStart"/>
      <w:r w:rsidRPr="00114A42">
        <w:rPr>
          <w:i/>
        </w:rPr>
        <w:t>Őszintén szólva</w:t>
      </w:r>
      <w:proofErr w:type="gramEnd"/>
      <w:r w:rsidRPr="00114A42">
        <w:rPr>
          <w:i/>
        </w:rPr>
        <w:t xml:space="preserve"> a 10. kezelés környékén kezdett a lelkesedésünk alább hagyni, de kb. a 15-16. kezelésnél, ha lassan is, kezdett javulni a helyzet: múlt a pirosság, csökkent a viszketés, szépen halványodtak a problémás területek. A terápiát nem hagyjuk teljesen abba, </w:t>
      </w:r>
      <w:proofErr w:type="gramStart"/>
      <w:r w:rsidRPr="00114A42">
        <w:rPr>
          <w:i/>
        </w:rPr>
        <w:t>mert</w:t>
      </w:r>
      <w:proofErr w:type="gramEnd"/>
      <w:r w:rsidRPr="00114A42">
        <w:rPr>
          <w:i/>
        </w:rPr>
        <w:t xml:space="preserve"> </w:t>
      </w:r>
      <w:r w:rsidRPr="00114A42">
        <w:rPr>
          <w:i/>
        </w:rPr>
        <w:lastRenderedPageBreak/>
        <w:t>ahogy kimaradt 4 hét, azonnal lobbant be újra. Nekünk megéri állapotfenntartásra a heti 1 kezelés!”</w:t>
      </w:r>
      <w:r>
        <w:t xml:space="preserve"> D. K.</w:t>
      </w:r>
    </w:p>
    <w:p w:rsidR="00A40360" w:rsidRDefault="00A40360" w:rsidP="00A40360">
      <w:r>
        <w:t>„</w:t>
      </w:r>
      <w:r w:rsidRPr="00927065">
        <w:rPr>
          <w:i/>
        </w:rPr>
        <w:t>Lányom 12 éves, két éve diagnosztizá</w:t>
      </w:r>
      <w:r>
        <w:rPr>
          <w:i/>
        </w:rPr>
        <w:t xml:space="preserve">ltak nála </w:t>
      </w:r>
      <w:proofErr w:type="spellStart"/>
      <w:r>
        <w:rPr>
          <w:i/>
        </w:rPr>
        <w:t>pszoriázist</w:t>
      </w:r>
      <w:proofErr w:type="spellEnd"/>
      <w:r>
        <w:rPr>
          <w:i/>
        </w:rPr>
        <w:t xml:space="preserve">. Az egész fejét </w:t>
      </w:r>
      <w:r w:rsidRPr="00927065">
        <w:rPr>
          <w:i/>
        </w:rPr>
        <w:t xml:space="preserve">vaskos pikkelyes felrakódás borította éven át. Rengeteg dolgot kipróbáltunk már, annál is inkább, mert a kislányunknak komoly dühkitörései voltak a betegsége miatt. A fájdalom, a viszketés és a pikkelyhullás rendkívül zavarta és hát az egész család is szenvedett tőle. Megmondom őszintén a Sensolite </w:t>
      </w:r>
      <w:proofErr w:type="spellStart"/>
      <w:r w:rsidRPr="00927065">
        <w:rPr>
          <w:i/>
        </w:rPr>
        <w:t>Gyógycentrumban</w:t>
      </w:r>
      <w:proofErr w:type="spellEnd"/>
      <w:r w:rsidRPr="00927065">
        <w:rPr>
          <w:i/>
        </w:rPr>
        <w:t xml:space="preserve"> sem bízt</w:t>
      </w:r>
      <w:r>
        <w:rPr>
          <w:i/>
        </w:rPr>
        <w:t>attak látványos javulással. Két-</w:t>
      </w:r>
      <w:r w:rsidRPr="00927065">
        <w:rPr>
          <w:i/>
        </w:rPr>
        <w:t xml:space="preserve">három kezelés után nem viszketet annyira, nem volt olyan gyulladt a bőr, a pikkelyek potyogtak. Nyugodtabb volt, az iskolai teljesítményén is meglátszott. Nap, mint nap nem nézegettük a fejét, mert az is rosszul esett neki. Úgy a 9-10 kezelés után szinte eltűntek a </w:t>
      </w:r>
      <w:proofErr w:type="spellStart"/>
      <w:r w:rsidRPr="00927065">
        <w:rPr>
          <w:i/>
        </w:rPr>
        <w:t>plakkok</w:t>
      </w:r>
      <w:proofErr w:type="spellEnd"/>
      <w:r w:rsidRPr="00927065">
        <w:rPr>
          <w:i/>
        </w:rPr>
        <w:t xml:space="preserve">.  A fenntartó kezelést egy kicsit elhanyagoltuk, volt, hogy 2-3 hétig nem jártunk, a tünetek újra megjelentek, heti 3 kezelés után halványultak.  Nincs értelme kihagyni. A két gyermekem együtt feküdt be a gépbe, egyikük sem volt beteg mióta </w:t>
      </w:r>
      <w:proofErr w:type="spellStart"/>
      <w:r w:rsidRPr="00927065">
        <w:rPr>
          <w:i/>
        </w:rPr>
        <w:t>Sensolitozunk</w:t>
      </w:r>
      <w:proofErr w:type="spellEnd"/>
      <w:r w:rsidRPr="00927065">
        <w:rPr>
          <w:i/>
        </w:rPr>
        <w:t>, pedig az osztályukból sokan hiányozóknak</w:t>
      </w:r>
      <w:r>
        <w:rPr>
          <w:i/>
        </w:rPr>
        <w:t>.</w:t>
      </w:r>
      <w:r>
        <w:t xml:space="preserve">” D.SZ. </w:t>
      </w:r>
    </w:p>
    <w:p w:rsidR="00A40360" w:rsidRDefault="00A40360" w:rsidP="00A40360">
      <w:pPr>
        <w:pStyle w:val="Listaszerbekezds"/>
        <w:numPr>
          <w:ilvl w:val="0"/>
          <w:numId w:val="2"/>
        </w:numPr>
      </w:pPr>
      <w:r w:rsidRPr="00114A42">
        <w:rPr>
          <w:b/>
          <w:sz w:val="26"/>
          <w:szCs w:val="26"/>
        </w:rPr>
        <w:t>Az orvos véleménye</w:t>
      </w:r>
    </w:p>
    <w:p w:rsidR="00A40360" w:rsidRPr="00927065" w:rsidRDefault="00A40360" w:rsidP="00A40360">
      <w:pPr>
        <w:jc w:val="both"/>
        <w:rPr>
          <w:b/>
        </w:rPr>
      </w:pPr>
      <w:r w:rsidRPr="00927065">
        <w:t xml:space="preserve">„24 éves betegünk egész testre kiterjedő, masszív, pikkelyesedéssel járó </w:t>
      </w:r>
      <w:proofErr w:type="spellStart"/>
      <w:r w:rsidRPr="00927065">
        <w:t>psoriasis-sal</w:t>
      </w:r>
      <w:proofErr w:type="spellEnd"/>
      <w:r w:rsidRPr="00927065">
        <w:t xml:space="preserve"> keresett fel bennünket. Azt tapasztaltuk, hogy kb. a 4. kezelés után már nem kellett seperni a pikkelyeit. Több mint 20 kezelésen van túl - folyamatosan jár a </w:t>
      </w:r>
      <w:proofErr w:type="spellStart"/>
      <w:r w:rsidRPr="00927065">
        <w:t>Gyógycentrumba</w:t>
      </w:r>
      <w:proofErr w:type="spellEnd"/>
      <w:r w:rsidRPr="00927065">
        <w:t xml:space="preserve"> fenntartó terápiára – és elmondhatjuk, hogy a pikkelyesedés eltűnt, a bőr pirossága enyhült. </w:t>
      </w:r>
      <w:proofErr w:type="spellStart"/>
      <w:r w:rsidRPr="00927065">
        <w:t>Atópiás</w:t>
      </w:r>
      <w:proofErr w:type="spellEnd"/>
      <w:r w:rsidRPr="00927065">
        <w:t xml:space="preserve"> ekcémásaimnak is mindig elmondom, hogy kitartónak kell lenni, mert az ő esetük nem jön rendbe olyan könnyen, mint egy akut infekció, amikor már másnap érezhetik a páciensek, hogy csökkent vagy teljesen elmúlt a torokfájásuk. Pikkelysömör és ekcéma esetén a terápia stimulálja az immunrendszert, így könnyebben kivédhető például az ekcéma belobbanása. Minimum 10 kezelést szoktam javasolni a pácienseknek, ennyi idő alatt ők is érzik a terápia hatékonyságát, így nem is kell őket győzködni a terápia folytatásáról. Egyébként jó magam is </w:t>
      </w:r>
      <w:proofErr w:type="spellStart"/>
      <w:r w:rsidRPr="00927065">
        <w:t>atópiás</w:t>
      </w:r>
      <w:proofErr w:type="spellEnd"/>
      <w:r w:rsidRPr="00927065">
        <w:t xml:space="preserve"> ekcémával, valamint asztmával küzdöttem, és amikor volt egy akut infekció, belobbant a bőröm, a szemhéjam duzzadt és még jött a 2-3 hónapig tartó köhögés is. Most, ha torokfájdalmat érzek, azonnal befekszem a </w:t>
      </w:r>
      <w:proofErr w:type="spellStart"/>
      <w:r w:rsidRPr="00927065">
        <w:t>Sensolite-ba</w:t>
      </w:r>
      <w:proofErr w:type="spellEnd"/>
      <w:r w:rsidRPr="00927065">
        <w:t xml:space="preserve">, utána semmi bajom! Sőt, azóta egyáltalán nem volt asztmás köhögésem, kiütésem sem, inhalációs készüléket sem kellett használnom. Tekintettel arra, hogy életmódot nem változtattam, biztosan a </w:t>
      </w:r>
      <w:proofErr w:type="spellStart"/>
      <w:r w:rsidRPr="00927065">
        <w:t>Sensolite-nak</w:t>
      </w:r>
      <w:proofErr w:type="spellEnd"/>
      <w:r w:rsidRPr="00927065">
        <w:t xml:space="preserve"> köszönhető ez az eredmény!” </w:t>
      </w:r>
      <w:r w:rsidRPr="00927065">
        <w:rPr>
          <w:b/>
        </w:rPr>
        <w:t>Dr. Papp Malvina bőrgyógyász főorvos</w:t>
      </w:r>
    </w:p>
    <w:p w:rsidR="00A40360" w:rsidRPr="00927065" w:rsidRDefault="00A40360" w:rsidP="00A40360">
      <w:pPr>
        <w:pStyle w:val="Listaszerbekezds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Terápiás javaslat</w:t>
      </w:r>
    </w:p>
    <w:p w:rsidR="00A40360" w:rsidRDefault="00A40360" w:rsidP="00A40360">
      <w:r>
        <w:t xml:space="preserve">A fent taglalt betegségcsoportok egyénenként nagyon változó dozírozást igényelnek, azonban szinten minden esetben ajánlott a minimum 20 kezelés felvétele állandó kontroll mellett. </w:t>
      </w:r>
    </w:p>
    <w:p w:rsidR="00A40360" w:rsidRDefault="00A40360" w:rsidP="00A40360">
      <w:r w:rsidRPr="00185ED3">
        <w:rPr>
          <w:i/>
        </w:rPr>
        <w:t>Terápiás javaslat heti bontásban</w:t>
      </w:r>
      <w:r>
        <w:rPr>
          <w:i/>
        </w:rPr>
        <w:t xml:space="preserve"> (20 perc)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A40360" w:rsidTr="005519D4"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BA3FBD">
              <w:rPr>
                <w:sz w:val="16"/>
                <w:szCs w:val="16"/>
              </w:rPr>
              <w:t>hét</w:t>
            </w:r>
          </w:p>
        </w:tc>
      </w:tr>
      <w:tr w:rsidR="00A40360" w:rsidTr="005519D4"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40360" w:rsidRPr="00BA3FBD" w:rsidRDefault="00A40360" w:rsidP="005519D4">
            <w:pPr>
              <w:pStyle w:val="Listaszerbekezds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3FBD">
              <w:rPr>
                <w:sz w:val="18"/>
                <w:szCs w:val="18"/>
              </w:rPr>
              <w:t>2</w:t>
            </w:r>
          </w:p>
        </w:tc>
      </w:tr>
    </w:tbl>
    <w:p w:rsidR="00A40360" w:rsidRDefault="00A40360" w:rsidP="00A40360">
      <w:pPr>
        <w:pStyle w:val="Listaszerbekezds1"/>
        <w:ind w:left="0"/>
        <w:rPr>
          <w:sz w:val="18"/>
          <w:szCs w:val="18"/>
        </w:rPr>
      </w:pPr>
    </w:p>
    <w:p w:rsidR="00A40360" w:rsidRPr="00185ED3" w:rsidRDefault="00A40360" w:rsidP="00A4036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20</w:t>
      </w:r>
    </w:p>
    <w:p w:rsidR="00A40360" w:rsidRPr="00185ED3" w:rsidRDefault="00A40360" w:rsidP="00A40360">
      <w:pPr>
        <w:pStyle w:val="Listaszerbekezds1"/>
        <w:ind w:left="0"/>
        <w:rPr>
          <w:sz w:val="18"/>
          <w:szCs w:val="18"/>
        </w:rPr>
      </w:pPr>
      <w:r w:rsidRPr="00185ED3"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66 000 Ft"/>
        </w:smartTagPr>
        <w:r>
          <w:rPr>
            <w:sz w:val="18"/>
            <w:szCs w:val="18"/>
          </w:rPr>
          <w:t>66 000 Ft</w:t>
        </w:r>
      </w:smartTag>
    </w:p>
    <w:p w:rsidR="00A40360" w:rsidRPr="00185ED3" w:rsidRDefault="00A40360" w:rsidP="00A40360">
      <w:pPr>
        <w:pStyle w:val="Listaszerbekezds1"/>
        <w:ind w:left="0"/>
        <w:rPr>
          <w:sz w:val="18"/>
          <w:szCs w:val="18"/>
        </w:rPr>
      </w:pPr>
      <w:r w:rsidRPr="00185ED3"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 300 Ft"/>
        </w:smartTagPr>
        <w:r>
          <w:rPr>
            <w:sz w:val="18"/>
            <w:szCs w:val="18"/>
          </w:rPr>
          <w:t>3 300 Ft</w:t>
        </w:r>
      </w:smartTag>
    </w:p>
    <w:p w:rsidR="00A40360" w:rsidRPr="00DB34D4" w:rsidRDefault="00A40360" w:rsidP="00A40360">
      <w:pPr>
        <w:pStyle w:val="Listaszerbekezds1"/>
        <w:ind w:left="0"/>
        <w:rPr>
          <w:i/>
        </w:rPr>
      </w:pPr>
      <w:r w:rsidRPr="00DB34D4">
        <w:rPr>
          <w:i/>
        </w:rPr>
        <w:lastRenderedPageBreak/>
        <w:t xml:space="preserve">Fenntartó csomag </w:t>
      </w:r>
    </w:p>
    <w:p w:rsidR="00A40360" w:rsidRPr="00742F7D" w:rsidRDefault="00A40360" w:rsidP="00A40360">
      <w:r>
        <w:t xml:space="preserve">Amennyiben a páciens állapotában javulás áll be, javasoljuk fenntartó csomagunk igénybevételét a problémamentes napok, hetek és hónapok érdekében! A csomagban ajánlott kúra igény szerint ismételhető!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40360" w:rsidTr="005519D4"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40360" w:rsidRPr="00927065" w:rsidRDefault="00A40360" w:rsidP="005519D4">
            <w:pPr>
              <w:pStyle w:val="Listaszerbekezds1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40360" w:rsidTr="005519D4">
        <w:trPr>
          <w:trHeight w:val="262"/>
        </w:trPr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 w:rsidRPr="00927065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 w:rsidRPr="00927065">
              <w:rPr>
                <w:sz w:val="16"/>
                <w:szCs w:val="16"/>
              </w:rPr>
              <w:t>1</w:t>
            </w:r>
          </w:p>
        </w:tc>
        <w:tc>
          <w:tcPr>
            <w:tcW w:w="921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 w:rsidRPr="00927065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 w:rsidRPr="00927065">
              <w:rPr>
                <w:sz w:val="16"/>
                <w:szCs w:val="16"/>
              </w:rPr>
              <w:t>1</w:t>
            </w:r>
          </w:p>
        </w:tc>
        <w:tc>
          <w:tcPr>
            <w:tcW w:w="922" w:type="dxa"/>
          </w:tcPr>
          <w:p w:rsidR="00A40360" w:rsidRPr="00927065" w:rsidRDefault="00A40360" w:rsidP="005519D4">
            <w:pPr>
              <w:pStyle w:val="Listaszerbekezds1"/>
              <w:ind w:left="0"/>
              <w:jc w:val="center"/>
              <w:rPr>
                <w:sz w:val="16"/>
                <w:szCs w:val="16"/>
              </w:rPr>
            </w:pPr>
            <w:r w:rsidRPr="00927065">
              <w:rPr>
                <w:sz w:val="16"/>
                <w:szCs w:val="16"/>
              </w:rPr>
              <w:t>1</w:t>
            </w:r>
          </w:p>
        </w:tc>
      </w:tr>
    </w:tbl>
    <w:p w:rsidR="00A40360" w:rsidRDefault="00A40360" w:rsidP="00A40360">
      <w:pPr>
        <w:pStyle w:val="Listaszerbekezds1"/>
        <w:ind w:left="0"/>
        <w:rPr>
          <w:sz w:val="18"/>
          <w:szCs w:val="18"/>
        </w:rPr>
      </w:pPr>
    </w:p>
    <w:p w:rsidR="00A40360" w:rsidRPr="008C4F06" w:rsidRDefault="00A40360" w:rsidP="00A4036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>Kezelések száma: 15</w:t>
      </w:r>
    </w:p>
    <w:p w:rsidR="00A40360" w:rsidRPr="008C4F06" w:rsidRDefault="00A40360" w:rsidP="00A4036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Csomag ára: </w:t>
      </w:r>
      <w:smartTag w:uri="urn:schemas-microsoft-com:office:smarttags" w:element="metricconverter">
        <w:smartTagPr>
          <w:attr w:name="ProductID" w:val="49 500 Ft"/>
        </w:smartTagPr>
        <w:r>
          <w:rPr>
            <w:sz w:val="18"/>
            <w:szCs w:val="18"/>
          </w:rPr>
          <w:t>49 5</w:t>
        </w:r>
        <w:r w:rsidRPr="008C4F06">
          <w:rPr>
            <w:sz w:val="18"/>
            <w:szCs w:val="18"/>
          </w:rPr>
          <w:t>00 Ft</w:t>
        </w:r>
      </w:smartTag>
    </w:p>
    <w:p w:rsidR="00A40360" w:rsidRPr="008C4F06" w:rsidRDefault="00A40360" w:rsidP="00A40360">
      <w:pPr>
        <w:pStyle w:val="Listaszerbekezds1"/>
        <w:ind w:left="0"/>
        <w:rPr>
          <w:sz w:val="18"/>
          <w:szCs w:val="18"/>
        </w:rPr>
      </w:pPr>
      <w:r>
        <w:rPr>
          <w:sz w:val="18"/>
          <w:szCs w:val="18"/>
        </w:rPr>
        <w:t xml:space="preserve">Kezelés ára: </w:t>
      </w:r>
      <w:smartTag w:uri="urn:schemas-microsoft-com:office:smarttags" w:element="metricconverter">
        <w:smartTagPr>
          <w:attr w:name="ProductID" w:val="3 300 Ft"/>
        </w:smartTagPr>
        <w:r>
          <w:rPr>
            <w:sz w:val="18"/>
            <w:szCs w:val="18"/>
          </w:rPr>
          <w:t>3</w:t>
        </w:r>
        <w:r w:rsidRPr="008C4F06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3</w:t>
        </w:r>
        <w:r w:rsidRPr="008C4F06">
          <w:rPr>
            <w:sz w:val="18"/>
            <w:szCs w:val="18"/>
          </w:rPr>
          <w:t>00 Ft</w:t>
        </w:r>
      </w:smartTag>
    </w:p>
    <w:p w:rsidR="00A40360" w:rsidRPr="00F127CA" w:rsidRDefault="00A40360" w:rsidP="00A40360">
      <w:pPr>
        <w:pStyle w:val="Listaszerbekezds1"/>
        <w:ind w:left="0"/>
        <w:jc w:val="both"/>
        <w:rPr>
          <w:sz w:val="16"/>
          <w:szCs w:val="16"/>
        </w:rPr>
      </w:pPr>
      <w:r w:rsidRPr="00F127CA">
        <w:rPr>
          <w:sz w:val="16"/>
          <w:szCs w:val="16"/>
        </w:rPr>
        <w:t xml:space="preserve">Az általunk ajánlott kezelési gyakoriság már eredményt hoz, de ha Páciensünk úgy érzi, hogy gyakrabban szeretné igénybe venni a Sensolite fényterápiát, lehetősége van rá a </w:t>
      </w:r>
      <w:proofErr w:type="spellStart"/>
      <w:r w:rsidRPr="00F127CA">
        <w:rPr>
          <w:sz w:val="16"/>
          <w:szCs w:val="16"/>
        </w:rPr>
        <w:t>Gyógycentrumban</w:t>
      </w:r>
      <w:proofErr w:type="spellEnd"/>
      <w:r w:rsidRPr="00F127CA">
        <w:rPr>
          <w:sz w:val="16"/>
          <w:szCs w:val="16"/>
        </w:rPr>
        <w:t xml:space="preserve"> történt konzultációt követően. Szeretnénk azonban felhívni a figyelmet, hogy tekintettel a fényterápia szervezetre gyakorolt energizáló hatására, némely esetben felpörgeti a szervezetet, ezért előfordulhat, hogy a túlzott mennyiségű fénykezelés alvási problémákat okozhat. Továbbá ilyen esetekben javasoljuk, hogy a fényterápiát ne az esti, a lefekvés előtti órákban vegye igénybe, hanem inkább reggel vagy délelőtt. Ha este vagy éjszaka kell aktívnak lennie, akkor az igénybevétel előtt érdemes felkeresni a Sensolite </w:t>
      </w:r>
      <w:proofErr w:type="spellStart"/>
      <w:r w:rsidRPr="00F127CA">
        <w:rPr>
          <w:sz w:val="16"/>
          <w:szCs w:val="16"/>
        </w:rPr>
        <w:t>Gyógycentrumot</w:t>
      </w:r>
      <w:proofErr w:type="spellEnd"/>
      <w:r w:rsidRPr="00F127CA">
        <w:rPr>
          <w:sz w:val="16"/>
          <w:szCs w:val="16"/>
        </w:rPr>
        <w:t xml:space="preserve">. </w:t>
      </w:r>
    </w:p>
    <w:p w:rsidR="00A40360" w:rsidRPr="001A7F23" w:rsidRDefault="00A40360" w:rsidP="00A40360"/>
    <w:p w:rsidR="00A40360" w:rsidRPr="001A7F23" w:rsidRDefault="00A40360" w:rsidP="00A40360"/>
    <w:p w:rsidR="00A40360" w:rsidRPr="001A7F23" w:rsidRDefault="00A40360" w:rsidP="00A40360"/>
    <w:p w:rsidR="00C53780" w:rsidRPr="00A40360" w:rsidRDefault="00C53780" w:rsidP="00A40360"/>
    <w:sectPr w:rsidR="00C53780" w:rsidRPr="00A40360" w:rsidSect="0011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E0"/>
    <w:multiLevelType w:val="hybridMultilevel"/>
    <w:tmpl w:val="69007D98"/>
    <w:lvl w:ilvl="0" w:tplc="039A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003"/>
    <w:multiLevelType w:val="hybridMultilevel"/>
    <w:tmpl w:val="52A4E9E0"/>
    <w:lvl w:ilvl="0" w:tplc="B9B4D5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749E"/>
    <w:multiLevelType w:val="hybridMultilevel"/>
    <w:tmpl w:val="70422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7EC9"/>
    <w:multiLevelType w:val="hybridMultilevel"/>
    <w:tmpl w:val="CA26C9DA"/>
    <w:lvl w:ilvl="0" w:tplc="F8B87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59BF"/>
    <w:multiLevelType w:val="hybridMultilevel"/>
    <w:tmpl w:val="9C40B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A0"/>
    <w:rsid w:val="000805D7"/>
    <w:rsid w:val="001130C2"/>
    <w:rsid w:val="00114A42"/>
    <w:rsid w:val="001A7F23"/>
    <w:rsid w:val="003D3980"/>
    <w:rsid w:val="00580A2C"/>
    <w:rsid w:val="005D04A0"/>
    <w:rsid w:val="00796910"/>
    <w:rsid w:val="009A0E2A"/>
    <w:rsid w:val="00A40360"/>
    <w:rsid w:val="00C0518A"/>
    <w:rsid w:val="00C17BBC"/>
    <w:rsid w:val="00C53780"/>
    <w:rsid w:val="00C5791F"/>
    <w:rsid w:val="00F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9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A0E2A"/>
    <w:pPr>
      <w:ind w:left="720"/>
      <w:contextualSpacing/>
    </w:pPr>
  </w:style>
  <w:style w:type="character" w:styleId="Kiemels">
    <w:name w:val="Emphasis"/>
    <w:basedOn w:val="Bekezdsalapbettpusa"/>
    <w:uiPriority w:val="99"/>
    <w:qFormat/>
    <w:rsid w:val="00C5791F"/>
    <w:rPr>
      <w:rFonts w:cs="Times New Roman"/>
      <w:i/>
      <w:iCs/>
    </w:rPr>
  </w:style>
  <w:style w:type="paragraph" w:customStyle="1" w:styleId="Listaszerbekezds1">
    <w:name w:val="Listaszerű bekezdés1"/>
    <w:basedOn w:val="Norml"/>
    <w:uiPriority w:val="99"/>
    <w:rsid w:val="00C5791F"/>
    <w:pPr>
      <w:ind w:left="720"/>
    </w:pPr>
    <w:rPr>
      <w:rFonts w:eastAsia="Times New Roman"/>
    </w:rPr>
  </w:style>
  <w:style w:type="table" w:styleId="Rcsostblzat">
    <w:name w:val="Table Grid"/>
    <w:basedOn w:val="Normltblzat"/>
    <w:uiPriority w:val="59"/>
    <w:rsid w:val="00C5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5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9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bvanda</dc:creator>
  <cp:lastModifiedBy>bvanda</cp:lastModifiedBy>
  <cp:revision>2</cp:revision>
  <dcterms:created xsi:type="dcterms:W3CDTF">2012-03-14T09:44:00Z</dcterms:created>
  <dcterms:modified xsi:type="dcterms:W3CDTF">2012-03-14T09:44:00Z</dcterms:modified>
</cp:coreProperties>
</file>